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0466"/>
      </w:tblGrid>
      <w:tr w:rsidR="004B496F" w14:paraId="1FEE871C" w14:textId="77777777" w:rsidTr="004B496F">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10460"/>
            </w:tblGrid>
            <w:tr w:rsidR="004B496F" w14:paraId="3B8F7830" w14:textId="77777777">
              <w:trPr>
                <w:jc w:val="center"/>
              </w:trPr>
              <w:tc>
                <w:tcPr>
                  <w:tcW w:w="0" w:type="auto"/>
                  <w:hideMark/>
                </w:tcPr>
                <w:p w14:paraId="5B65869A" w14:textId="77777777" w:rsidR="004B496F" w:rsidRDefault="004B496F"/>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0"/>
                  </w:tblGrid>
                  <w:tr w:rsidR="004B496F" w14:paraId="082E3CCC" w14:textId="77777777">
                    <w:tc>
                      <w:tcPr>
                        <w:tcW w:w="0" w:type="auto"/>
                        <w:tcMar>
                          <w:top w:w="135" w:type="dxa"/>
                          <w:left w:w="270" w:type="dxa"/>
                          <w:bottom w:w="135" w:type="dxa"/>
                          <w:right w:w="270" w:type="dxa"/>
                        </w:tcMar>
                        <w:vAlign w:val="center"/>
                        <w:hideMark/>
                      </w:tcPr>
                      <w:tbl>
                        <w:tblPr>
                          <w:tblW w:w="5000" w:type="pct"/>
                          <w:shd w:val="clear" w:color="auto" w:fill="D5D5D5"/>
                          <w:tblCellMar>
                            <w:left w:w="0" w:type="dxa"/>
                            <w:right w:w="0" w:type="dxa"/>
                          </w:tblCellMar>
                          <w:tblLook w:val="04A0" w:firstRow="1" w:lastRow="0" w:firstColumn="1" w:lastColumn="0" w:noHBand="0" w:noVBand="1"/>
                        </w:tblPr>
                        <w:tblGrid>
                          <w:gridCol w:w="9920"/>
                        </w:tblGrid>
                        <w:tr w:rsidR="004B496F" w14:paraId="015FCDC7" w14:textId="77777777">
                          <w:tc>
                            <w:tcPr>
                              <w:tcW w:w="0" w:type="auto"/>
                              <w:shd w:val="clear" w:color="auto" w:fill="D5D5D5"/>
                              <w:tcMar>
                                <w:top w:w="270" w:type="dxa"/>
                                <w:left w:w="270" w:type="dxa"/>
                                <w:bottom w:w="270" w:type="dxa"/>
                                <w:right w:w="270" w:type="dxa"/>
                              </w:tcMar>
                              <w:hideMark/>
                            </w:tcPr>
                            <w:p w14:paraId="60E9B8B4" w14:textId="77777777" w:rsidR="004B496F" w:rsidRDefault="004B496F">
                              <w:pPr>
                                <w:spacing w:line="360" w:lineRule="auto"/>
                                <w:jc w:val="center"/>
                                <w:rPr>
                                  <w:rFonts w:ascii="Helvetica" w:hAnsi="Helvetica" w:cs="Helvetica"/>
                                  <w:b/>
                                  <w:bCs/>
                                  <w:color w:val="4E4E4E"/>
                                  <w:sz w:val="27"/>
                                  <w:szCs w:val="27"/>
                                </w:rPr>
                              </w:pPr>
                              <w:r>
                                <w:rPr>
                                  <w:rStyle w:val="Strong"/>
                                  <w:rFonts w:ascii="Helvetica" w:hAnsi="Helvetica" w:cs="Helvetica"/>
                                  <w:color w:val="4E4E4E"/>
                                  <w:sz w:val="27"/>
                                  <w:szCs w:val="27"/>
                                </w:rPr>
                                <w:t xml:space="preserve">WADA PUBLISHES APPROVED </w:t>
                              </w:r>
                              <w:bookmarkStart w:id="0" w:name="_GoBack"/>
                              <w:r>
                                <w:rPr>
                                  <w:rStyle w:val="Strong"/>
                                  <w:rFonts w:ascii="Helvetica" w:hAnsi="Helvetica" w:cs="Helvetica"/>
                                  <w:color w:val="4E4E4E"/>
                                  <w:sz w:val="27"/>
                                  <w:szCs w:val="27"/>
                                </w:rPr>
                                <w:t>2021 WORLD ANTI-DOPING CODE AND INTERNATIONAL STANDARDS</w:t>
                              </w:r>
                              <w:r>
                                <w:rPr>
                                  <w:rFonts w:ascii="Helvetica" w:hAnsi="Helvetica" w:cs="Helvetica"/>
                                  <w:b/>
                                  <w:bCs/>
                                  <w:color w:val="4E4E4E"/>
                                  <w:sz w:val="27"/>
                                  <w:szCs w:val="27"/>
                                </w:rPr>
                                <w:t xml:space="preserve"> </w:t>
                              </w:r>
                              <w:bookmarkEnd w:id="0"/>
                            </w:p>
                          </w:tc>
                        </w:tr>
                      </w:tbl>
                      <w:p w14:paraId="5365EC7C" w14:textId="77777777" w:rsidR="004B496F" w:rsidRDefault="004B496F">
                        <w:pPr>
                          <w:rPr>
                            <w:rFonts w:ascii="Times New Roman" w:eastAsia="Times New Roman" w:hAnsi="Times New Roman" w:cs="Times New Roman"/>
                            <w:sz w:val="20"/>
                            <w:szCs w:val="20"/>
                          </w:rPr>
                        </w:pPr>
                      </w:p>
                    </w:tc>
                  </w:tr>
                </w:tbl>
                <w:p w14:paraId="70DF24B0" w14:textId="77777777" w:rsidR="004B496F" w:rsidRDefault="004B496F">
                  <w:pPr>
                    <w:rPr>
                      <w:rFonts w:ascii="Times New Roman" w:eastAsia="Times New Roman" w:hAnsi="Times New Roman" w:cs="Times New Roman"/>
                      <w:sz w:val="20"/>
                      <w:szCs w:val="20"/>
                    </w:rPr>
                  </w:pPr>
                </w:p>
              </w:tc>
            </w:tr>
          </w:tbl>
          <w:p w14:paraId="0A0293D8" w14:textId="77777777" w:rsidR="004B496F" w:rsidRDefault="004B496F">
            <w:pPr>
              <w:jc w:val="center"/>
              <w:rPr>
                <w:rFonts w:ascii="Times New Roman" w:eastAsia="Times New Roman" w:hAnsi="Times New Roman" w:cs="Times New Roman"/>
                <w:sz w:val="20"/>
                <w:szCs w:val="20"/>
              </w:rPr>
            </w:pPr>
          </w:p>
        </w:tc>
      </w:tr>
    </w:tbl>
    <w:p w14:paraId="1CC1F525" w14:textId="77777777" w:rsidR="004B496F" w:rsidRDefault="004B496F" w:rsidP="004B496F">
      <w:pPr>
        <w:rPr>
          <w:lang w:val="en-AT"/>
        </w:rPr>
      </w:pPr>
    </w:p>
    <w:tbl>
      <w:tblPr>
        <w:tblW w:w="5000" w:type="pct"/>
        <w:tblCellMar>
          <w:left w:w="0" w:type="dxa"/>
          <w:right w:w="0" w:type="dxa"/>
        </w:tblCellMar>
        <w:tblLook w:val="04A0" w:firstRow="1" w:lastRow="0" w:firstColumn="1" w:lastColumn="0" w:noHBand="0" w:noVBand="1"/>
      </w:tblPr>
      <w:tblGrid>
        <w:gridCol w:w="10466"/>
      </w:tblGrid>
      <w:tr w:rsidR="004B496F" w14:paraId="10D95242" w14:textId="77777777" w:rsidTr="004B496F">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
              <w:gridCol w:w="10456"/>
            </w:tblGrid>
            <w:tr w:rsidR="004B496F" w14:paraId="0FC8AC6A" w14:textId="77777777">
              <w:trPr>
                <w:jc w:val="center"/>
              </w:trPr>
              <w:tc>
                <w:tcPr>
                  <w:tcW w:w="0" w:type="auto"/>
                  <w:hideMark/>
                </w:tcPr>
                <w:p w14:paraId="57E65A37" w14:textId="77777777" w:rsidR="004B496F" w:rsidRDefault="004B496F">
                  <w:pPr>
                    <w:rPr>
                      <w:lang w:val="en-AT"/>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56"/>
                  </w:tblGrid>
                  <w:tr w:rsidR="004B496F" w14:paraId="186D5513" w14:textId="77777777">
                    <w:tc>
                      <w:tcPr>
                        <w:tcW w:w="0" w:type="auto"/>
                        <w:tcMar>
                          <w:top w:w="135" w:type="dxa"/>
                          <w:left w:w="270" w:type="dxa"/>
                          <w:bottom w:w="135" w:type="dxa"/>
                          <w:right w:w="270" w:type="dxa"/>
                        </w:tcMar>
                        <w:vAlign w:val="center"/>
                        <w:hideMark/>
                      </w:tcPr>
                      <w:tbl>
                        <w:tblPr>
                          <w:tblW w:w="5000" w:type="pct"/>
                          <w:shd w:val="clear" w:color="auto" w:fill="404040"/>
                          <w:tblCellMar>
                            <w:left w:w="0" w:type="dxa"/>
                            <w:right w:w="0" w:type="dxa"/>
                          </w:tblCellMar>
                          <w:tblLook w:val="04A0" w:firstRow="1" w:lastRow="0" w:firstColumn="1" w:lastColumn="0" w:noHBand="0" w:noVBand="1"/>
                        </w:tblPr>
                        <w:tblGrid>
                          <w:gridCol w:w="9916"/>
                        </w:tblGrid>
                        <w:tr w:rsidR="004B496F" w14:paraId="50AD6B02" w14:textId="77777777">
                          <w:tc>
                            <w:tcPr>
                              <w:tcW w:w="0" w:type="auto"/>
                              <w:shd w:val="clear" w:color="auto" w:fill="404040"/>
                              <w:tcMar>
                                <w:top w:w="270" w:type="dxa"/>
                                <w:left w:w="270" w:type="dxa"/>
                                <w:bottom w:w="270" w:type="dxa"/>
                                <w:right w:w="270" w:type="dxa"/>
                              </w:tcMar>
                              <w:hideMark/>
                            </w:tcPr>
                            <w:p w14:paraId="3B1FDEA6" w14:textId="77777777" w:rsidR="004B496F" w:rsidRDefault="004B496F">
                              <w:pPr>
                                <w:spacing w:line="300" w:lineRule="auto"/>
                                <w:jc w:val="center"/>
                                <w:rPr>
                                  <w:rFonts w:ascii="Helvetica" w:hAnsi="Helvetica" w:cs="Helvetica"/>
                                  <w:color w:val="F2F2F2"/>
                                  <w:sz w:val="21"/>
                                  <w:szCs w:val="21"/>
                                </w:rPr>
                              </w:pPr>
                              <w:r>
                                <w:rPr>
                                  <w:rFonts w:ascii="Helvetica" w:hAnsi="Helvetica" w:cs="Helvetica"/>
                                  <w:color w:val="F2F2F2"/>
                                  <w:sz w:val="21"/>
                                  <w:szCs w:val="21"/>
                                </w:rPr>
                                <w:t>THE AGENCY ALSO PUBLISHES THE APPROVED</w:t>
                              </w:r>
                              <w:r>
                                <w:rPr>
                                  <w:rFonts w:ascii="Helvetica" w:hAnsi="Helvetica" w:cs="Helvetica"/>
                                  <w:color w:val="F2F2F2"/>
                                  <w:sz w:val="21"/>
                                  <w:szCs w:val="21"/>
                                </w:rPr>
                                <w:br/>
                                <w:t xml:space="preserve">ATHLETES’ ANTI-DOPING RIGHTS ACT </w:t>
                              </w:r>
                            </w:p>
                          </w:tc>
                        </w:tr>
                      </w:tbl>
                      <w:p w14:paraId="27EF0A5D" w14:textId="77777777" w:rsidR="004B496F" w:rsidRDefault="004B496F">
                        <w:pPr>
                          <w:rPr>
                            <w:rFonts w:ascii="Times New Roman" w:eastAsia="Times New Roman" w:hAnsi="Times New Roman" w:cs="Times New Roman"/>
                            <w:sz w:val="20"/>
                            <w:szCs w:val="20"/>
                          </w:rPr>
                        </w:pPr>
                      </w:p>
                    </w:tc>
                  </w:tr>
                </w:tbl>
                <w:p w14:paraId="356571BA" w14:textId="77777777" w:rsidR="004B496F" w:rsidRDefault="004B496F">
                  <w:pPr>
                    <w:rPr>
                      <w:rFonts w:ascii="Times New Roman" w:eastAsia="Times New Roman" w:hAnsi="Times New Roman" w:cs="Times New Roman"/>
                      <w:sz w:val="20"/>
                      <w:szCs w:val="20"/>
                    </w:rPr>
                  </w:pPr>
                </w:p>
              </w:tc>
            </w:tr>
          </w:tbl>
          <w:p w14:paraId="208B08B2" w14:textId="77777777" w:rsidR="004B496F" w:rsidRDefault="004B496F">
            <w:pPr>
              <w:jc w:val="center"/>
              <w:rPr>
                <w:rFonts w:ascii="Times New Roman" w:eastAsia="Times New Roman" w:hAnsi="Times New Roman" w:cs="Times New Roman"/>
                <w:sz w:val="20"/>
                <w:szCs w:val="20"/>
              </w:rPr>
            </w:pPr>
          </w:p>
        </w:tc>
      </w:tr>
    </w:tbl>
    <w:p w14:paraId="7C356D4A" w14:textId="77777777" w:rsidR="004B496F" w:rsidRDefault="004B496F" w:rsidP="004B496F">
      <w:pPr>
        <w:rPr>
          <w:lang w:val="en-AT"/>
        </w:rPr>
      </w:pPr>
    </w:p>
    <w:tbl>
      <w:tblPr>
        <w:tblW w:w="5000" w:type="pct"/>
        <w:tblCellMar>
          <w:left w:w="0" w:type="dxa"/>
          <w:right w:w="0" w:type="dxa"/>
        </w:tblCellMar>
        <w:tblLook w:val="04A0" w:firstRow="1" w:lastRow="0" w:firstColumn="1" w:lastColumn="0" w:noHBand="0" w:noVBand="1"/>
      </w:tblPr>
      <w:tblGrid>
        <w:gridCol w:w="10466"/>
      </w:tblGrid>
      <w:tr w:rsidR="004B496F" w14:paraId="25208ED8" w14:textId="77777777" w:rsidTr="004B496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496F" w14:paraId="0B7CBA6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496F" w14:paraId="75AB22A0" w14:textId="77777777">
                    <w:tc>
                      <w:tcPr>
                        <w:tcW w:w="0" w:type="auto"/>
                        <w:tcMar>
                          <w:top w:w="0" w:type="dxa"/>
                          <w:left w:w="270" w:type="dxa"/>
                          <w:bottom w:w="135" w:type="dxa"/>
                          <w:right w:w="270" w:type="dxa"/>
                        </w:tcMar>
                        <w:hideMark/>
                      </w:tcPr>
                      <w:p w14:paraId="28AE9C61" w14:textId="77777777" w:rsidR="004B496F" w:rsidRDefault="004B496F">
                        <w:pPr>
                          <w:spacing w:line="300" w:lineRule="auto"/>
                          <w:rPr>
                            <w:rFonts w:ascii="Arial" w:hAnsi="Arial" w:cs="Arial"/>
                            <w:color w:val="5A5A5A"/>
                            <w:sz w:val="20"/>
                            <w:szCs w:val="20"/>
                          </w:rPr>
                        </w:pPr>
                        <w:r>
                          <w:rPr>
                            <w:rStyle w:val="Strong"/>
                            <w:rFonts w:ascii="Arial" w:hAnsi="Arial" w:cs="Arial"/>
                            <w:color w:val="5A5A5A"/>
                            <w:sz w:val="20"/>
                            <w:szCs w:val="20"/>
                          </w:rPr>
                          <w:t>Montreal, 26 November 2019</w:t>
                        </w:r>
                        <w:r>
                          <w:rPr>
                            <w:rFonts w:ascii="Arial" w:hAnsi="Arial" w:cs="Arial"/>
                            <w:color w:val="5A5A5A"/>
                            <w:sz w:val="20"/>
                            <w:szCs w:val="20"/>
                          </w:rPr>
                          <w:br/>
                        </w:r>
                        <w:r>
                          <w:rPr>
                            <w:rFonts w:ascii="Arial" w:hAnsi="Arial" w:cs="Arial"/>
                            <w:color w:val="5A5A5A"/>
                            <w:sz w:val="20"/>
                            <w:szCs w:val="20"/>
                          </w:rPr>
                          <w:br/>
                          <w:t>Dear Colleagues,</w:t>
                        </w:r>
                        <w:r>
                          <w:rPr>
                            <w:rFonts w:ascii="Arial" w:hAnsi="Arial" w:cs="Arial"/>
                            <w:color w:val="5A5A5A"/>
                            <w:sz w:val="20"/>
                            <w:szCs w:val="20"/>
                          </w:rPr>
                          <w:br/>
                        </w:r>
                        <w:r>
                          <w:rPr>
                            <w:rFonts w:ascii="Arial" w:hAnsi="Arial" w:cs="Arial"/>
                            <w:color w:val="5A5A5A"/>
                            <w:sz w:val="20"/>
                            <w:szCs w:val="20"/>
                          </w:rPr>
                          <w:br/>
                          <w:t xml:space="preserve">The World Anti-Doping Agency (WADA) is pleased to publish the 2021 World Anti-Doping Code (Code) and International Standards (Standards), which </w:t>
                        </w:r>
                        <w:hyperlink r:id="rId5" w:history="1">
                          <w:r>
                            <w:rPr>
                              <w:rStyle w:val="Hyperlink"/>
                              <w:rFonts w:ascii="Arial" w:hAnsi="Arial" w:cs="Arial"/>
                              <w:color w:val="118A09"/>
                              <w:sz w:val="20"/>
                              <w:szCs w:val="20"/>
                            </w:rPr>
                            <w:t>were approved</w:t>
                          </w:r>
                        </w:hyperlink>
                        <w:r>
                          <w:rPr>
                            <w:rFonts w:ascii="Arial" w:hAnsi="Arial" w:cs="Arial"/>
                            <w:color w:val="5A5A5A"/>
                            <w:sz w:val="20"/>
                            <w:szCs w:val="20"/>
                          </w:rPr>
                          <w:t xml:space="preserve"> by the Agency’s Executive Committee (ExCo) – as relates to the Standards – and Foundation Board (Board) – as relates to the Code – at the conclusion of WADA’s fifth World Conference on Doping in Sport on 7 November 2019. The 2021 Code and Standards are set to come into force on 1 January 2021. </w:t>
                        </w:r>
                      </w:p>
                      <w:p w14:paraId="4DB20FAD" w14:textId="77777777" w:rsidR="004B496F" w:rsidRDefault="004B496F" w:rsidP="00F822BE">
                        <w:pPr>
                          <w:numPr>
                            <w:ilvl w:val="0"/>
                            <w:numId w:val="1"/>
                          </w:numPr>
                          <w:spacing w:before="100" w:beforeAutospacing="1" w:after="100" w:afterAutospacing="1" w:line="300" w:lineRule="auto"/>
                          <w:rPr>
                            <w:rFonts w:ascii="Arial" w:eastAsia="Times New Roman" w:hAnsi="Arial" w:cs="Arial"/>
                            <w:color w:val="5A5A5A"/>
                            <w:sz w:val="20"/>
                            <w:szCs w:val="20"/>
                          </w:rPr>
                        </w:pPr>
                        <w:hyperlink r:id="rId6" w:history="1">
                          <w:r>
                            <w:rPr>
                              <w:rStyle w:val="Hyperlink"/>
                              <w:rFonts w:ascii="Arial" w:eastAsia="Times New Roman" w:hAnsi="Arial" w:cs="Arial"/>
                              <w:color w:val="118A09"/>
                              <w:sz w:val="20"/>
                              <w:szCs w:val="20"/>
                            </w:rPr>
                            <w:t>2021 World Anti-Doping Code</w:t>
                          </w:r>
                        </w:hyperlink>
                      </w:p>
                      <w:p w14:paraId="431042E7" w14:textId="77777777" w:rsidR="004B496F" w:rsidRDefault="004B496F" w:rsidP="00F822BE">
                        <w:pPr>
                          <w:numPr>
                            <w:ilvl w:val="0"/>
                            <w:numId w:val="1"/>
                          </w:numPr>
                          <w:spacing w:before="100" w:beforeAutospacing="1" w:after="100" w:afterAutospacing="1" w:line="300" w:lineRule="auto"/>
                          <w:rPr>
                            <w:rFonts w:ascii="Arial" w:eastAsia="Times New Roman" w:hAnsi="Arial" w:cs="Arial"/>
                            <w:color w:val="5A5A5A"/>
                            <w:sz w:val="20"/>
                            <w:szCs w:val="20"/>
                          </w:rPr>
                        </w:pPr>
                        <w:hyperlink r:id="rId7" w:history="1">
                          <w:r>
                            <w:rPr>
                              <w:rStyle w:val="Hyperlink"/>
                              <w:rFonts w:ascii="Arial" w:eastAsia="Times New Roman" w:hAnsi="Arial" w:cs="Arial"/>
                              <w:color w:val="118A09"/>
                              <w:sz w:val="20"/>
                              <w:szCs w:val="20"/>
                            </w:rPr>
                            <w:t>International Standard for Code Compliance by Signatories (ISCCS)</w:t>
                          </w:r>
                        </w:hyperlink>
                      </w:p>
                      <w:p w14:paraId="61E376B3" w14:textId="77777777" w:rsidR="004B496F" w:rsidRDefault="004B496F" w:rsidP="00F822BE">
                        <w:pPr>
                          <w:numPr>
                            <w:ilvl w:val="0"/>
                            <w:numId w:val="1"/>
                          </w:numPr>
                          <w:spacing w:before="100" w:beforeAutospacing="1" w:after="100" w:afterAutospacing="1" w:line="300" w:lineRule="auto"/>
                          <w:rPr>
                            <w:rFonts w:ascii="Arial" w:eastAsia="Times New Roman" w:hAnsi="Arial" w:cs="Arial"/>
                            <w:color w:val="5A5A5A"/>
                            <w:sz w:val="20"/>
                            <w:szCs w:val="20"/>
                          </w:rPr>
                        </w:pPr>
                        <w:hyperlink r:id="rId8" w:history="1">
                          <w:r>
                            <w:rPr>
                              <w:rStyle w:val="Hyperlink"/>
                              <w:rFonts w:ascii="Arial" w:eastAsia="Times New Roman" w:hAnsi="Arial" w:cs="Arial"/>
                              <w:color w:val="118A09"/>
                              <w:sz w:val="20"/>
                              <w:szCs w:val="20"/>
                            </w:rPr>
                            <w:t>International Standard for the Protection of Privacy and Personal Information (ISPPPI)</w:t>
                          </w:r>
                        </w:hyperlink>
                      </w:p>
                      <w:p w14:paraId="6E4DA89C" w14:textId="77777777" w:rsidR="004B496F" w:rsidRDefault="004B496F" w:rsidP="00F822BE">
                        <w:pPr>
                          <w:numPr>
                            <w:ilvl w:val="0"/>
                            <w:numId w:val="1"/>
                          </w:numPr>
                          <w:spacing w:before="100" w:beforeAutospacing="1" w:after="100" w:afterAutospacing="1" w:line="300" w:lineRule="auto"/>
                          <w:rPr>
                            <w:rFonts w:ascii="Arial" w:eastAsia="Times New Roman" w:hAnsi="Arial" w:cs="Arial"/>
                            <w:color w:val="5A5A5A"/>
                            <w:sz w:val="20"/>
                            <w:szCs w:val="20"/>
                          </w:rPr>
                        </w:pPr>
                        <w:hyperlink r:id="rId9" w:history="1">
                          <w:r>
                            <w:rPr>
                              <w:rStyle w:val="Hyperlink"/>
                              <w:rFonts w:ascii="Arial" w:eastAsia="Times New Roman" w:hAnsi="Arial" w:cs="Arial"/>
                              <w:color w:val="118A09"/>
                              <w:sz w:val="20"/>
                              <w:szCs w:val="20"/>
                            </w:rPr>
                            <w:t>International Standard for Testing and Investigations (ISTI)</w:t>
                          </w:r>
                        </w:hyperlink>
                      </w:p>
                      <w:p w14:paraId="344A64FB" w14:textId="77777777" w:rsidR="004B496F" w:rsidRDefault="004B496F" w:rsidP="00F822BE">
                        <w:pPr>
                          <w:numPr>
                            <w:ilvl w:val="0"/>
                            <w:numId w:val="1"/>
                          </w:numPr>
                          <w:spacing w:before="100" w:beforeAutospacing="1" w:after="100" w:afterAutospacing="1" w:line="300" w:lineRule="auto"/>
                          <w:rPr>
                            <w:rFonts w:ascii="Arial" w:eastAsia="Times New Roman" w:hAnsi="Arial" w:cs="Arial"/>
                            <w:color w:val="5A5A5A"/>
                            <w:sz w:val="20"/>
                            <w:szCs w:val="20"/>
                          </w:rPr>
                        </w:pPr>
                        <w:hyperlink r:id="rId10" w:history="1">
                          <w:r>
                            <w:rPr>
                              <w:rStyle w:val="Hyperlink"/>
                              <w:rFonts w:ascii="Arial" w:eastAsia="Times New Roman" w:hAnsi="Arial" w:cs="Arial"/>
                              <w:color w:val="118A09"/>
                              <w:sz w:val="20"/>
                              <w:szCs w:val="20"/>
                            </w:rPr>
                            <w:t>International Standard for Therapeutic Use Exemptions (ISTUE)</w:t>
                          </w:r>
                        </w:hyperlink>
                      </w:p>
                      <w:p w14:paraId="2510B1D9" w14:textId="77777777" w:rsidR="004B496F" w:rsidRDefault="004B496F" w:rsidP="00F822BE">
                        <w:pPr>
                          <w:numPr>
                            <w:ilvl w:val="0"/>
                            <w:numId w:val="1"/>
                          </w:numPr>
                          <w:spacing w:before="100" w:beforeAutospacing="1" w:after="100" w:afterAutospacing="1" w:line="300" w:lineRule="auto"/>
                          <w:rPr>
                            <w:rFonts w:ascii="Arial" w:eastAsia="Times New Roman" w:hAnsi="Arial" w:cs="Arial"/>
                            <w:color w:val="5A5A5A"/>
                            <w:sz w:val="20"/>
                            <w:szCs w:val="20"/>
                          </w:rPr>
                        </w:pPr>
                        <w:hyperlink r:id="rId11" w:history="1">
                          <w:r>
                            <w:rPr>
                              <w:rStyle w:val="Hyperlink"/>
                              <w:rFonts w:ascii="Arial" w:eastAsia="Times New Roman" w:hAnsi="Arial" w:cs="Arial"/>
                              <w:color w:val="118A09"/>
                              <w:sz w:val="20"/>
                              <w:szCs w:val="20"/>
                            </w:rPr>
                            <w:t>International Standard for Education (ISE)</w:t>
                          </w:r>
                        </w:hyperlink>
                        <w:r>
                          <w:rPr>
                            <w:rFonts w:ascii="Arial" w:eastAsia="Times New Roman" w:hAnsi="Arial" w:cs="Arial"/>
                            <w:color w:val="5A5A5A"/>
                            <w:sz w:val="20"/>
                            <w:szCs w:val="20"/>
                          </w:rPr>
                          <w:t xml:space="preserve"> (New)</w:t>
                        </w:r>
                      </w:p>
                      <w:p w14:paraId="0C83A24F" w14:textId="77777777" w:rsidR="004B496F" w:rsidRDefault="004B496F" w:rsidP="00F822BE">
                        <w:pPr>
                          <w:numPr>
                            <w:ilvl w:val="0"/>
                            <w:numId w:val="1"/>
                          </w:numPr>
                          <w:spacing w:before="100" w:beforeAutospacing="1" w:after="100" w:afterAutospacing="1" w:line="300" w:lineRule="auto"/>
                          <w:rPr>
                            <w:rFonts w:ascii="Arial" w:eastAsia="Times New Roman" w:hAnsi="Arial" w:cs="Arial"/>
                            <w:color w:val="5A5A5A"/>
                            <w:sz w:val="20"/>
                            <w:szCs w:val="20"/>
                          </w:rPr>
                        </w:pPr>
                        <w:hyperlink r:id="rId12" w:history="1">
                          <w:r>
                            <w:rPr>
                              <w:rStyle w:val="Hyperlink"/>
                              <w:rFonts w:ascii="Arial" w:eastAsia="Times New Roman" w:hAnsi="Arial" w:cs="Arial"/>
                              <w:color w:val="118A09"/>
                              <w:sz w:val="20"/>
                              <w:szCs w:val="20"/>
                            </w:rPr>
                            <w:t>International Standard for Results Management (ISRM)</w:t>
                          </w:r>
                        </w:hyperlink>
                        <w:r>
                          <w:rPr>
                            <w:rFonts w:ascii="Arial" w:eastAsia="Times New Roman" w:hAnsi="Arial" w:cs="Arial"/>
                            <w:color w:val="5A5A5A"/>
                            <w:sz w:val="20"/>
                            <w:szCs w:val="20"/>
                          </w:rPr>
                          <w:t xml:space="preserve"> (New)</w:t>
                        </w:r>
                      </w:p>
                      <w:p w14:paraId="30F66753" w14:textId="77777777" w:rsidR="004B496F" w:rsidRDefault="004B496F">
                        <w:pPr>
                          <w:spacing w:line="300" w:lineRule="auto"/>
                          <w:rPr>
                            <w:rFonts w:ascii="Arial" w:hAnsi="Arial" w:cs="Arial"/>
                            <w:color w:val="5A5A5A"/>
                            <w:sz w:val="20"/>
                            <w:szCs w:val="20"/>
                          </w:rPr>
                        </w:pPr>
                        <w:r>
                          <w:rPr>
                            <w:rStyle w:val="Emphasis"/>
                            <w:rFonts w:ascii="Arial" w:hAnsi="Arial" w:cs="Arial"/>
                            <w:color w:val="5A5A5A"/>
                            <w:sz w:val="20"/>
                            <w:szCs w:val="20"/>
                          </w:rPr>
                          <w:t xml:space="preserve">[As regards the International Standard for Laboratories (ISL), the situation is slightly different. </w:t>
                        </w:r>
                        <w:hyperlink r:id="rId13" w:history="1">
                          <w:r>
                            <w:rPr>
                              <w:rStyle w:val="Hyperlink"/>
                              <w:rFonts w:ascii="Arial" w:hAnsi="Arial" w:cs="Arial"/>
                              <w:i/>
                              <w:iCs/>
                              <w:color w:val="118A09"/>
                              <w:sz w:val="20"/>
                              <w:szCs w:val="20"/>
                            </w:rPr>
                            <w:t>The new version approved in May 2019</w:t>
                          </w:r>
                        </w:hyperlink>
                        <w:r>
                          <w:rPr>
                            <w:rStyle w:val="Emphasis"/>
                            <w:rFonts w:ascii="Arial" w:hAnsi="Arial" w:cs="Arial"/>
                            <w:color w:val="5A5A5A"/>
                            <w:sz w:val="20"/>
                            <w:szCs w:val="20"/>
                          </w:rPr>
                          <w:t xml:space="preserve"> will now be reviewed in order to reflect and incorporate any relevant changes into the Standard and to ensure consistency with the other documents that were approved during the World Conference. The amended draft will then be circulated for stakeholder consultation from 10 December 2019 to 4 March 2020; following which, it will be tabled at WADA’s September 2020 ExCo meeting for approval. It will subsequently enter into force on 1 January 2021, along with the revised Code and all other Standards.]</w:t>
                        </w:r>
                        <w:r>
                          <w:rPr>
                            <w:rFonts w:ascii="Arial" w:hAnsi="Arial" w:cs="Arial"/>
                            <w:color w:val="5A5A5A"/>
                            <w:sz w:val="20"/>
                            <w:szCs w:val="20"/>
                          </w:rPr>
                          <w:br/>
                        </w:r>
                        <w:r>
                          <w:rPr>
                            <w:rFonts w:ascii="Arial" w:hAnsi="Arial" w:cs="Arial"/>
                            <w:color w:val="5A5A5A"/>
                            <w:sz w:val="20"/>
                            <w:szCs w:val="20"/>
                          </w:rPr>
                          <w:br/>
                          <w:t xml:space="preserve">The Agency is also pleased to publish the </w:t>
                        </w:r>
                        <w:hyperlink r:id="rId14" w:history="1">
                          <w:r>
                            <w:rPr>
                              <w:rStyle w:val="Hyperlink"/>
                              <w:rFonts w:ascii="Arial" w:hAnsi="Arial" w:cs="Arial"/>
                              <w:color w:val="118A09"/>
                              <w:sz w:val="20"/>
                              <w:szCs w:val="20"/>
                            </w:rPr>
                            <w:t>Athletes’ Anti-Doping Rights Act</w:t>
                          </w:r>
                        </w:hyperlink>
                        <w:r>
                          <w:rPr>
                            <w:rFonts w:ascii="Arial" w:hAnsi="Arial" w:cs="Arial"/>
                            <w:color w:val="5A5A5A"/>
                            <w:sz w:val="20"/>
                            <w:szCs w:val="20"/>
                          </w:rPr>
                          <w:t xml:space="preserve"> (previously known as the Anti-Doping Charter of Athlete Rights), which was also approved by WADA’s ExCo on 7 November. The Act, which was developed by WADA’s Athlete Committee in consultation with thousands of athletes and stakeholders worldwide, is based on the 2021 Code and Standards and aims to ensure that athlete rights within anti-doping are clearly set out, accessible, and universally applicable.</w:t>
                        </w:r>
                        <w:r>
                          <w:rPr>
                            <w:rFonts w:ascii="Arial" w:hAnsi="Arial" w:cs="Arial"/>
                            <w:color w:val="5A5A5A"/>
                            <w:sz w:val="20"/>
                            <w:szCs w:val="20"/>
                          </w:rPr>
                          <w:br/>
                        </w:r>
                        <w:r>
                          <w:rPr>
                            <w:rFonts w:ascii="Arial" w:hAnsi="Arial" w:cs="Arial"/>
                            <w:color w:val="5A5A5A"/>
                            <w:sz w:val="20"/>
                            <w:szCs w:val="20"/>
                          </w:rPr>
                          <w:br/>
                          <w:t>The approved versions of the Code, Standards and Act will now be translated into French and branded; following which, the final versions will be published on WADA’s website in early 2020.</w:t>
                        </w:r>
                        <w:r>
                          <w:rPr>
                            <w:rFonts w:ascii="Arial" w:hAnsi="Arial" w:cs="Arial"/>
                            <w:color w:val="5A5A5A"/>
                            <w:sz w:val="20"/>
                            <w:szCs w:val="20"/>
                          </w:rPr>
                          <w:br/>
                        </w:r>
                        <w:r>
                          <w:rPr>
                            <w:rFonts w:ascii="Arial" w:hAnsi="Arial" w:cs="Arial"/>
                            <w:color w:val="5A5A5A"/>
                            <w:sz w:val="20"/>
                            <w:szCs w:val="20"/>
                          </w:rPr>
                          <w:br/>
                        </w:r>
                        <w:r>
                          <w:rPr>
                            <w:rStyle w:val="Strong"/>
                            <w:rFonts w:ascii="Arial" w:hAnsi="Arial" w:cs="Arial"/>
                            <w:color w:val="5A5A5A"/>
                            <w:sz w:val="20"/>
                            <w:szCs w:val="20"/>
                          </w:rPr>
                          <w:t>2021 Code Review Process</w:t>
                        </w:r>
                        <w:r>
                          <w:rPr>
                            <w:rFonts w:ascii="Arial" w:hAnsi="Arial" w:cs="Arial"/>
                            <w:color w:val="5A5A5A"/>
                            <w:sz w:val="20"/>
                            <w:szCs w:val="20"/>
                          </w:rPr>
                          <w:br/>
                        </w:r>
                        <w:r>
                          <w:rPr>
                            <w:rFonts w:ascii="Arial" w:hAnsi="Arial" w:cs="Arial"/>
                            <w:color w:val="5A5A5A"/>
                            <w:sz w:val="20"/>
                            <w:szCs w:val="20"/>
                          </w:rPr>
                          <w:br/>
                          <w:t xml:space="preserve">In December 2017, WADA initiated a </w:t>
                        </w:r>
                        <w:hyperlink r:id="rId15" w:history="1">
                          <w:r>
                            <w:rPr>
                              <w:rStyle w:val="Hyperlink"/>
                              <w:rFonts w:ascii="Arial" w:hAnsi="Arial" w:cs="Arial"/>
                              <w:color w:val="118A09"/>
                              <w:sz w:val="20"/>
                              <w:szCs w:val="20"/>
                            </w:rPr>
                            <w:t>2021 Code Review Process</w:t>
                          </w:r>
                        </w:hyperlink>
                        <w:r>
                          <w:rPr>
                            <w:rFonts w:ascii="Arial" w:hAnsi="Arial" w:cs="Arial"/>
                            <w:color w:val="5A5A5A"/>
                            <w:sz w:val="20"/>
                            <w:szCs w:val="20"/>
                          </w:rPr>
                          <w:t xml:space="preserve">, which consisted of three distinct consultation phases for the Code; two for the related Standards and one for the Athletes’ Anti-Doping Rights Act. During this time, stakeholders had multiple opportunities to contribute and make recommendations on how </w:t>
                        </w:r>
                        <w:r>
                          <w:rPr>
                            <w:rFonts w:ascii="Arial" w:hAnsi="Arial" w:cs="Arial"/>
                            <w:color w:val="5A5A5A"/>
                            <w:sz w:val="20"/>
                            <w:szCs w:val="20"/>
                          </w:rPr>
                          <w:lastRenderedPageBreak/>
                          <w:t>to further strengthen the global anti-doping program.</w:t>
                        </w:r>
                        <w:r>
                          <w:rPr>
                            <w:rFonts w:ascii="Arial" w:hAnsi="Arial" w:cs="Arial"/>
                            <w:color w:val="5A5A5A"/>
                            <w:sz w:val="20"/>
                            <w:szCs w:val="20"/>
                          </w:rPr>
                          <w:br/>
                        </w:r>
                        <w:r>
                          <w:rPr>
                            <w:rFonts w:ascii="Arial" w:hAnsi="Arial" w:cs="Arial"/>
                            <w:color w:val="5A5A5A"/>
                            <w:sz w:val="20"/>
                            <w:szCs w:val="20"/>
                          </w:rPr>
                          <w:br/>
                          <w:t>Following the review process, stakeholders were invited to intervene publicly on the proposed Code and Standards during the World Conference – an opportunity which was taken up by over 70 stakeholder organizations – before the Code and the full suite of Standards were approved by the Board and ExCo respectively.</w:t>
                        </w:r>
                        <w:r>
                          <w:rPr>
                            <w:rFonts w:ascii="Arial" w:hAnsi="Arial" w:cs="Arial"/>
                            <w:color w:val="5A5A5A"/>
                            <w:sz w:val="20"/>
                            <w:szCs w:val="20"/>
                          </w:rPr>
                          <w:br/>
                        </w:r>
                        <w:r>
                          <w:rPr>
                            <w:rFonts w:ascii="Arial" w:hAnsi="Arial" w:cs="Arial"/>
                            <w:color w:val="5A5A5A"/>
                            <w:sz w:val="20"/>
                            <w:szCs w:val="20"/>
                          </w:rPr>
                          <w:br/>
                          <w:t>WADA is confident that the Review Process – which was reported upon on multiple occasions to the Agency’s ExCo and Board – was extensive and transparent. The Agency is grateful to all stakeholders for their high-quality feedback and to the drafting teams that have delivered on this momentous effort that will result in greater protection for Clean Sport.</w:t>
                        </w:r>
                        <w:r>
                          <w:rPr>
                            <w:rFonts w:ascii="Arial" w:hAnsi="Arial" w:cs="Arial"/>
                            <w:color w:val="5A5A5A"/>
                            <w:sz w:val="20"/>
                            <w:szCs w:val="20"/>
                          </w:rPr>
                          <w:br/>
                        </w:r>
                        <w:r>
                          <w:rPr>
                            <w:rFonts w:ascii="Arial" w:hAnsi="Arial" w:cs="Arial"/>
                            <w:color w:val="5A5A5A"/>
                            <w:sz w:val="20"/>
                            <w:szCs w:val="20"/>
                          </w:rPr>
                          <w:br/>
                        </w:r>
                        <w:r>
                          <w:rPr>
                            <w:rStyle w:val="Strong"/>
                            <w:rFonts w:ascii="Arial" w:hAnsi="Arial" w:cs="Arial"/>
                            <w:color w:val="5A5A5A"/>
                            <w:sz w:val="20"/>
                            <w:szCs w:val="20"/>
                          </w:rPr>
                          <w:t>WADA’s 2021 Code Implementation Stakeholder Support Program</w:t>
                        </w:r>
                        <w:r>
                          <w:rPr>
                            <w:rFonts w:ascii="Arial" w:hAnsi="Arial" w:cs="Arial"/>
                            <w:color w:val="5A5A5A"/>
                            <w:sz w:val="20"/>
                            <w:szCs w:val="20"/>
                          </w:rPr>
                          <w:br/>
                        </w:r>
                        <w:r>
                          <w:rPr>
                            <w:rFonts w:ascii="Arial" w:hAnsi="Arial" w:cs="Arial"/>
                            <w:color w:val="5A5A5A"/>
                            <w:sz w:val="20"/>
                            <w:szCs w:val="20"/>
                          </w:rPr>
                          <w:br/>
                          <w:t xml:space="preserve">On 18 October, WADA published a </w:t>
                        </w:r>
                        <w:hyperlink r:id="rId16" w:history="1">
                          <w:r>
                            <w:rPr>
                              <w:rStyle w:val="Hyperlink"/>
                              <w:rFonts w:ascii="Arial" w:hAnsi="Arial" w:cs="Arial"/>
                              <w:color w:val="118A09"/>
                              <w:sz w:val="20"/>
                              <w:szCs w:val="20"/>
                            </w:rPr>
                            <w:t>Development and Implementation Guide for Stakeholders</w:t>
                          </w:r>
                        </w:hyperlink>
                        <w:r>
                          <w:rPr>
                            <w:rFonts w:ascii="Arial" w:hAnsi="Arial" w:cs="Arial"/>
                            <w:color w:val="5A5A5A"/>
                            <w:sz w:val="20"/>
                            <w:szCs w:val="20"/>
                          </w:rPr>
                          <w:t xml:space="preserve">, which summarizes matters of importance related to the Review Process; in particular: </w:t>
                        </w:r>
                      </w:p>
                      <w:p w14:paraId="77E69E96" w14:textId="77777777" w:rsidR="004B496F" w:rsidRDefault="004B496F" w:rsidP="00F822BE">
                        <w:pPr>
                          <w:numPr>
                            <w:ilvl w:val="0"/>
                            <w:numId w:val="2"/>
                          </w:numPr>
                          <w:spacing w:before="100" w:beforeAutospacing="1" w:after="100" w:afterAutospacing="1" w:line="300" w:lineRule="auto"/>
                          <w:rPr>
                            <w:rFonts w:ascii="Arial" w:eastAsia="Times New Roman" w:hAnsi="Arial" w:cs="Arial"/>
                            <w:color w:val="5A5A5A"/>
                            <w:sz w:val="20"/>
                            <w:szCs w:val="20"/>
                          </w:rPr>
                        </w:pPr>
                        <w:r>
                          <w:rPr>
                            <w:rFonts w:ascii="Arial" w:eastAsia="Times New Roman" w:hAnsi="Arial" w:cs="Arial"/>
                            <w:color w:val="5A5A5A"/>
                            <w:sz w:val="20"/>
                            <w:szCs w:val="20"/>
                          </w:rPr>
                          <w:t>the significant changes between the current 2015 Code and the 2021 Code;</w:t>
                        </w:r>
                      </w:p>
                      <w:p w14:paraId="655ECC9D" w14:textId="77777777" w:rsidR="004B496F" w:rsidRDefault="004B496F" w:rsidP="00F822BE">
                        <w:pPr>
                          <w:numPr>
                            <w:ilvl w:val="0"/>
                            <w:numId w:val="2"/>
                          </w:numPr>
                          <w:spacing w:before="100" w:beforeAutospacing="1" w:after="100" w:afterAutospacing="1" w:line="300" w:lineRule="auto"/>
                          <w:rPr>
                            <w:rFonts w:ascii="Arial" w:eastAsia="Times New Roman" w:hAnsi="Arial" w:cs="Arial"/>
                            <w:color w:val="5A5A5A"/>
                            <w:sz w:val="20"/>
                            <w:szCs w:val="20"/>
                          </w:rPr>
                        </w:pPr>
                        <w:r>
                          <w:rPr>
                            <w:rFonts w:ascii="Arial" w:eastAsia="Times New Roman" w:hAnsi="Arial" w:cs="Arial"/>
                            <w:color w:val="5A5A5A"/>
                            <w:sz w:val="20"/>
                            <w:szCs w:val="20"/>
                          </w:rPr>
                          <w:t>the significant changes between the current Standards and the recently approved Standards; and</w:t>
                        </w:r>
                      </w:p>
                      <w:p w14:paraId="00DC8113" w14:textId="77777777" w:rsidR="004B496F" w:rsidRDefault="004B496F" w:rsidP="00F822BE">
                        <w:pPr>
                          <w:numPr>
                            <w:ilvl w:val="0"/>
                            <w:numId w:val="2"/>
                          </w:numPr>
                          <w:spacing w:before="100" w:beforeAutospacing="1" w:after="100" w:afterAutospacing="1" w:line="300" w:lineRule="auto"/>
                          <w:rPr>
                            <w:rFonts w:ascii="Arial" w:eastAsia="Times New Roman" w:hAnsi="Arial" w:cs="Arial"/>
                            <w:color w:val="5A5A5A"/>
                            <w:sz w:val="20"/>
                            <w:szCs w:val="20"/>
                          </w:rPr>
                        </w:pPr>
                        <w:r>
                          <w:rPr>
                            <w:rFonts w:ascii="Arial" w:eastAsia="Times New Roman" w:hAnsi="Arial" w:cs="Arial"/>
                            <w:color w:val="5A5A5A"/>
                            <w:sz w:val="20"/>
                            <w:szCs w:val="20"/>
                          </w:rPr>
                          <w:t>a summary of the key topics being addressed in the new Standards.</w:t>
                        </w:r>
                      </w:p>
                      <w:p w14:paraId="265067CE" w14:textId="77777777" w:rsidR="004B496F" w:rsidRDefault="004B496F">
                        <w:pPr>
                          <w:spacing w:line="300" w:lineRule="auto"/>
                          <w:rPr>
                            <w:rFonts w:ascii="Arial" w:hAnsi="Arial" w:cs="Arial"/>
                            <w:color w:val="5A5A5A"/>
                            <w:sz w:val="20"/>
                            <w:szCs w:val="20"/>
                          </w:rPr>
                        </w:pPr>
                        <w:r>
                          <w:rPr>
                            <w:rFonts w:ascii="Arial" w:hAnsi="Arial" w:cs="Arial"/>
                            <w:color w:val="5A5A5A"/>
                            <w:sz w:val="20"/>
                            <w:szCs w:val="20"/>
                          </w:rPr>
                          <w:t>The Guide also touches upon WADA’s Stakeholder Support Program, which WADA will develop and coordinate with partners in 2020. Our aim is to assist Signatories in their adjustment to, and implementation of, the Code and the Standards that will enter into force on 1 January 2021. </w:t>
                        </w:r>
                        <w:r>
                          <w:rPr>
                            <w:rFonts w:ascii="Arial" w:hAnsi="Arial" w:cs="Arial"/>
                            <w:color w:val="5A5A5A"/>
                            <w:sz w:val="20"/>
                            <w:szCs w:val="20"/>
                          </w:rPr>
                          <w:br/>
                        </w:r>
                        <w:r>
                          <w:rPr>
                            <w:rFonts w:ascii="Arial" w:hAnsi="Arial" w:cs="Arial"/>
                            <w:color w:val="5A5A5A"/>
                            <w:sz w:val="20"/>
                            <w:szCs w:val="20"/>
                          </w:rPr>
                          <w:br/>
                          <w:t>More information related to the Support Program, including the resources that will be made available for Signatories, will be shared in 2020. In the meantime, should you have any questions regarding the above-mentioned documents, please feel free to contact: </w:t>
                        </w:r>
                        <w:hyperlink r:id="rId17" w:history="1">
                          <w:r>
                            <w:rPr>
                              <w:rStyle w:val="Hyperlink"/>
                              <w:rFonts w:ascii="Arial" w:hAnsi="Arial" w:cs="Arial"/>
                              <w:color w:val="118A09"/>
                              <w:sz w:val="20"/>
                              <w:szCs w:val="20"/>
                            </w:rPr>
                            <w:t>code@wada-ama.org</w:t>
                          </w:r>
                        </w:hyperlink>
                        <w:r>
                          <w:rPr>
                            <w:rFonts w:ascii="Arial" w:hAnsi="Arial" w:cs="Arial"/>
                            <w:color w:val="5A5A5A"/>
                            <w:sz w:val="20"/>
                            <w:szCs w:val="20"/>
                          </w:rPr>
                          <w:t>.</w:t>
                        </w:r>
                        <w:r>
                          <w:rPr>
                            <w:rFonts w:ascii="Arial" w:hAnsi="Arial" w:cs="Arial"/>
                            <w:color w:val="5A5A5A"/>
                            <w:sz w:val="20"/>
                            <w:szCs w:val="20"/>
                          </w:rPr>
                          <w:br/>
                        </w:r>
                        <w:r>
                          <w:rPr>
                            <w:rFonts w:ascii="Arial" w:hAnsi="Arial" w:cs="Arial"/>
                            <w:color w:val="5A5A5A"/>
                            <w:sz w:val="20"/>
                            <w:szCs w:val="20"/>
                          </w:rPr>
                          <w:br/>
                          <w:t>Best regards,</w:t>
                        </w:r>
                        <w:r>
                          <w:rPr>
                            <w:rFonts w:ascii="Arial" w:hAnsi="Arial" w:cs="Arial"/>
                            <w:color w:val="5A5A5A"/>
                            <w:sz w:val="20"/>
                            <w:szCs w:val="20"/>
                          </w:rPr>
                          <w:br/>
                        </w:r>
                        <w:r>
                          <w:rPr>
                            <w:rFonts w:ascii="Arial" w:hAnsi="Arial" w:cs="Arial"/>
                            <w:color w:val="5A5A5A"/>
                            <w:sz w:val="20"/>
                            <w:szCs w:val="20"/>
                          </w:rPr>
                          <w:br/>
                          <w:t>World Anti-Doping Agency</w:t>
                        </w:r>
                      </w:p>
                    </w:tc>
                  </w:tr>
                </w:tbl>
                <w:p w14:paraId="415C42D5" w14:textId="77777777" w:rsidR="004B496F" w:rsidRDefault="004B496F">
                  <w:pPr>
                    <w:rPr>
                      <w:rFonts w:ascii="Times New Roman" w:eastAsia="Times New Roman" w:hAnsi="Times New Roman" w:cs="Times New Roman"/>
                      <w:sz w:val="20"/>
                      <w:szCs w:val="20"/>
                    </w:rPr>
                  </w:pPr>
                </w:p>
              </w:tc>
            </w:tr>
          </w:tbl>
          <w:p w14:paraId="4B08A14B" w14:textId="77777777" w:rsidR="004B496F" w:rsidRDefault="004B496F">
            <w:pPr>
              <w:rPr>
                <w:rFonts w:ascii="Times New Roman" w:eastAsia="Times New Roman" w:hAnsi="Times New Roman" w:cs="Times New Roman"/>
                <w:sz w:val="20"/>
                <w:szCs w:val="20"/>
              </w:rPr>
            </w:pPr>
          </w:p>
        </w:tc>
      </w:tr>
    </w:tbl>
    <w:p w14:paraId="53D0935D" w14:textId="77777777" w:rsidR="00ED463E" w:rsidRDefault="00ED463E"/>
    <w:sectPr w:rsidR="00ED463E" w:rsidSect="004B49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7623"/>
    <w:multiLevelType w:val="multilevel"/>
    <w:tmpl w:val="BB22B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B4374"/>
    <w:multiLevelType w:val="multilevel"/>
    <w:tmpl w:val="0DB64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41"/>
    <w:rsid w:val="004B496F"/>
    <w:rsid w:val="00844CE6"/>
    <w:rsid w:val="00B26841"/>
    <w:rsid w:val="00ED463E"/>
  </w:rsids>
  <m:mathPr>
    <m:mathFont m:val="Cambria Math"/>
    <m:brkBin m:val="before"/>
    <m:brkBinSub m:val="--"/>
    <m:smallFrac m:val="0"/>
    <m:dispDef/>
    <m:lMargin m:val="0"/>
    <m:rMargin m:val="0"/>
    <m:defJc m:val="centerGroup"/>
    <m:wrapIndent m:val="1440"/>
    <m:intLim m:val="subSup"/>
    <m:naryLim m:val="undOvr"/>
  </m:mathPr>
  <w:themeFontLang w:val="en-A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2CF2C-2E5D-4F01-902C-10B2CF44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T"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96F"/>
    <w:pPr>
      <w:spacing w:after="0" w:line="240" w:lineRule="auto"/>
    </w:pPr>
    <w:rPr>
      <w:rFonts w:ascii="Calibri" w:hAnsi="Calibri" w:cs="Calibri"/>
      <w:lang w:val="en-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496F"/>
    <w:rPr>
      <w:color w:val="0000FF"/>
      <w:u w:val="single"/>
    </w:rPr>
  </w:style>
  <w:style w:type="character" w:styleId="Strong">
    <w:name w:val="Strong"/>
    <w:basedOn w:val="DefaultParagraphFont"/>
    <w:uiPriority w:val="22"/>
    <w:qFormat/>
    <w:rsid w:val="004B496F"/>
    <w:rPr>
      <w:b/>
      <w:bCs/>
    </w:rPr>
  </w:style>
  <w:style w:type="character" w:styleId="Emphasis">
    <w:name w:val="Emphasis"/>
    <w:basedOn w:val="DefaultParagraphFont"/>
    <w:uiPriority w:val="20"/>
    <w:qFormat/>
    <w:rsid w:val="004B49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8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da-ama.us15.list-manage.com/track/click?u=b1807e279506be6f85bf0da1c&amp;id=98adbbb637&amp;e=34987fb82e" TargetMode="External"/><Relationship Id="rId13" Type="http://schemas.openxmlformats.org/officeDocument/2006/relationships/hyperlink" Target="https://wada-ama.us15.list-manage.com/track/click?u=b1807e279506be6f85bf0da1c&amp;id=15dc427eb6&amp;e=34987fb82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da-ama.us15.list-manage.com/track/click?u=b1807e279506be6f85bf0da1c&amp;id=133105b4d4&amp;e=34987fb82e" TargetMode="External"/><Relationship Id="rId12" Type="http://schemas.openxmlformats.org/officeDocument/2006/relationships/hyperlink" Target="https://wada-ama.us15.list-manage.com/track/click?u=b1807e279506be6f85bf0da1c&amp;id=88ca580d4b&amp;e=34987fb82e" TargetMode="External"/><Relationship Id="rId17" Type="http://schemas.openxmlformats.org/officeDocument/2006/relationships/hyperlink" Target="mailto:code@wada-ama.org" TargetMode="External"/><Relationship Id="rId2" Type="http://schemas.openxmlformats.org/officeDocument/2006/relationships/styles" Target="styles.xml"/><Relationship Id="rId16" Type="http://schemas.openxmlformats.org/officeDocument/2006/relationships/hyperlink" Target="https://wada-ama.us15.list-manage.com/track/click?u=b1807e279506be6f85bf0da1c&amp;id=3c3e6d26b2&amp;e=34987fb82e" TargetMode="External"/><Relationship Id="rId1" Type="http://schemas.openxmlformats.org/officeDocument/2006/relationships/numbering" Target="numbering.xml"/><Relationship Id="rId6" Type="http://schemas.openxmlformats.org/officeDocument/2006/relationships/hyperlink" Target="https://wada-ama.us15.list-manage.com/track/click?u=b1807e279506be6f85bf0da1c&amp;id=447ec5d41d&amp;e=34987fb82e" TargetMode="External"/><Relationship Id="rId11" Type="http://schemas.openxmlformats.org/officeDocument/2006/relationships/hyperlink" Target="https://wada-ama.us15.list-manage.com/track/click?u=b1807e279506be6f85bf0da1c&amp;id=9d6d90a40e&amp;e=34987fb82e" TargetMode="External"/><Relationship Id="rId5" Type="http://schemas.openxmlformats.org/officeDocument/2006/relationships/hyperlink" Target="https://wada-ama.us15.list-manage.com/track/click?u=b1807e279506be6f85bf0da1c&amp;id=d2a5ae2f4d&amp;e=34987fb82e" TargetMode="External"/><Relationship Id="rId15" Type="http://schemas.openxmlformats.org/officeDocument/2006/relationships/hyperlink" Target="https://wada-ama.us15.list-manage.com/track/click?u=b1807e279506be6f85bf0da1c&amp;id=7e53b315a1&amp;e=34987fb82e" TargetMode="External"/><Relationship Id="rId10" Type="http://schemas.openxmlformats.org/officeDocument/2006/relationships/hyperlink" Target="https://wada-ama.us15.list-manage.com/track/click?u=b1807e279506be6f85bf0da1c&amp;id=92ae088019&amp;e=34987fb82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da-ama.us15.list-manage.com/track/click?u=b1807e279506be6f85bf0da1c&amp;id=cafb09c87a&amp;e=34987fb82e" TargetMode="External"/><Relationship Id="rId14" Type="http://schemas.openxmlformats.org/officeDocument/2006/relationships/hyperlink" Target="https://wada-ama.us15.list-manage.com/track/click?u=b1807e279506be6f85bf0da1c&amp;id=e655a0a984&amp;e=34987fb8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HyongRak Kim</dc:creator>
  <cp:keywords/>
  <dc:description/>
  <cp:lastModifiedBy>HyongRak Kim</cp:lastModifiedBy>
  <cp:revision>2</cp:revision>
  <dcterms:created xsi:type="dcterms:W3CDTF">2019-11-28T09:27:00Z</dcterms:created>
  <dcterms:modified xsi:type="dcterms:W3CDTF">2019-11-28T09:27:00Z</dcterms:modified>
</cp:coreProperties>
</file>